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Search Speed: Technical Reference</w:t>
      </w:r>
    </w:p>
    <w:p>
      <w:pPr>
        <w:spacing w:after="520"/>
      </w:pPr>
      <w:r>
        <w:rPr>
          <w:color w:val="5B6B86"/>
          <w:sz w:val="25"/>
        </w:rPr>
        <w:t>For whoever maintains the code next.</w:t>
      </w:r>
    </w:p>
    <w:p>
      <w:pPr>
        <w:spacing w:after="40"/>
      </w:pPr>
      <w:r>
        <w:rPr>
          <w:b/>
          <w:sz w:val="20"/>
        </w:rPr>
        <w:t>Prepared by:</w:t>
      </w:r>
      <w:r>
        <w:rPr>
          <w:sz w:val="20"/>
        </w:rPr>
        <w:t xml:space="preserve"> Abad Naseer</w:t>
      </w:r>
    </w:p>
    <w:p>
      <w:pPr>
        <w:spacing w:after="40"/>
      </w:pPr>
      <w:r>
        <w:rPr>
          <w:b/>
          <w:sz w:val="20"/>
        </w:rPr>
        <w:t>Project:</w:t>
      </w:r>
      <w:r>
        <w:rPr>
          <w:sz w:val="20"/>
        </w:rPr>
        <w:t xml:space="preserve"> AI-Order (SmartMarket) conversational shopping assistant</w:t>
      </w:r>
    </w:p>
    <w:p>
      <w:pPr>
        <w:spacing w:after="40"/>
      </w:pPr>
      <w:r>
        <w:rPr>
          <w:b/>
          <w:sz w:val="20"/>
        </w:rPr>
        <w:t>Environment:</w:t>
      </w:r>
      <w:r>
        <w:rPr>
          <w:sz w:val="20"/>
        </w:rPr>
        <w:t xml:space="preserve"> Development, dev.agent.fordev.fun</w:t>
      </w:r>
    </w:p>
    <w:p>
      <w:pPr>
        <w:spacing w:after="40"/>
      </w:pPr>
      <w:r>
        <w:rPr>
          <w:b/>
          <w:sz w:val="20"/>
        </w:rPr>
        <w:t>Catalog size at time of measurement:</w:t>
      </w:r>
      <w:r>
        <w:rPr>
          <w:sz w:val="20"/>
        </w:rPr>
        <w:t xml:space="preserve"> 25,631 products</w:t>
      </w:r>
    </w:p>
    <w:p>
      <w:r>
        <w:br w:type="page"/>
      </w:r>
    </w:p>
    <w:p>
      <w:r>
        <w:t>For whoever maintains the code next.</w:t>
      </w:r>
    </w:p>
    <w:p>
      <w:pPr>
        <w:pStyle w:val="Heading1"/>
      </w:pPr>
      <w:r>
        <w:t>What changed</w:t>
      </w:r>
    </w:p>
    <w:p>
      <w:r>
        <w:rPr>
          <w:rFonts w:ascii="Consolas" w:hAnsi="Consolas"/>
          <w:color w:val="9E255C"/>
          <w:sz w:val="19"/>
        </w:rPr>
        <w:t>rag.search_products()</w:t>
      </w:r>
      <w:r>
        <w:t xml:space="preserve"> used to load all 25,631 products from MySQL on every call. It now scores against a matrix held in memory. The original implementation is kept as </w:t>
      </w:r>
      <w:r>
        <w:rPr>
          <w:rFonts w:ascii="Consolas" w:hAnsi="Consolas"/>
          <w:color w:val="9E255C"/>
          <w:sz w:val="19"/>
        </w:rPr>
        <w:t>_search_products_db()</w:t>
      </w:r>
      <w:r>
        <w:t xml:space="preserve"> and runs automatically whenever the index is unavailable.</w:t>
      </w:r>
    </w:p>
    <w:p>
      <w:pPr>
        <w:jc w:val="center"/>
      </w:pPr>
      <w:r>
        <w:drawing>
          <wp:inline xmlns:a="http://schemas.openxmlformats.org/drawingml/2006/main" xmlns:pic="http://schemas.openxmlformats.org/drawingml/2006/picture">
            <wp:extent cx="5943600" cy="4368546"/>
            <wp:docPr id="1" name="Picture 1"/>
            <wp:cNvGraphicFramePr>
              <a:graphicFrameLocks noChangeAspect="1"/>
            </wp:cNvGraphicFramePr>
            <a:graphic>
              <a:graphicData uri="http://schemas.openxmlformats.org/drawingml/2006/picture">
                <pic:pic>
                  <pic:nvPicPr>
                    <pic:cNvPr id="0" name="code_change.png"/>
                    <pic:cNvPicPr/>
                  </pic:nvPicPr>
                  <pic:blipFill>
                    <a:blip r:embed="rId9"/>
                    <a:stretch>
                      <a:fillRect/>
                    </a:stretch>
                  </pic:blipFill>
                  <pic:spPr>
                    <a:xfrm>
                      <a:off x="0" y="0"/>
                      <a:ext cx="5943600" cy="4368546"/>
                    </a:xfrm>
                    <a:prstGeom prst="rect"/>
                  </pic:spPr>
                </pic:pic>
              </a:graphicData>
            </a:graphic>
          </wp:inline>
        </w:drawing>
      </w:r>
    </w:p>
    <w:p>
      <w:pPr>
        <w:spacing w:before="40"/>
        <w:jc w:val="center"/>
      </w:pPr>
      <w:r>
        <w:rPr>
          <w:i/>
          <w:color w:val="5B6B86"/>
          <w:sz w:val="18"/>
        </w:rPr>
        <w:t>The code, before and after</w:t>
      </w:r>
    </w:p>
    <w:p>
      <w:r>
        <w:br w:type="page"/>
      </w:r>
    </w:p>
    <w:p>
      <w:pPr>
        <w:pStyle w:val="Heading1"/>
      </w:pPr>
      <w:r>
        <w:t>The index</w:t>
      </w:r>
    </w:p>
    <w:p>
      <w:pPr>
        <w:spacing w:before="80" w:after="200"/>
        <w:ind w:left="173"/>
        <w:shd w:val="clear" w:fill="F2F5F9"/>
      </w:pPr>
      <w:r>
        <w:rPr>
          <w:rFonts w:ascii="Consolas" w:hAnsi="Consolas"/>
          <w:color w:val="242C3D"/>
          <w:sz w:val="17"/>
        </w:rPr>
        <w:t>class CatalogIndex:</w:t>
        <w:br/>
        <w:t xml:space="preserve">    matrix: np.ndarray      # (25631, 384) float32, C-contiguous, 37.6 MB</w:t>
        <w:br/>
        <w:t xml:space="preserve">    meta:   list[tuple]     # id, name, description, price, stock, image,</w:t>
        <w:br/>
        <w:t xml:space="preserve">                            # store_id, category_id, category, owner_email</w:t>
        <w:br/>
        <w:t xml:space="preserve">    cat_codes: np.ndarray   # (25631,) int32</w:t>
        <w:br/>
        <w:t xml:space="preserve">    cat_names_lower: list[str]</w:t>
      </w:r>
    </w:p>
    <w:p>
      <w:r>
        <w:t>Metadata is stored as tuples rather than dicts, and category names and store emails are interned. Result dictionaries are built only for rows a query returns.</w:t>
      </w:r>
    </w:p>
    <w:p>
      <w:pPr>
        <w:pStyle w:val="Heading2"/>
      </w:pPr>
      <w:r>
        <w:t>Build</w:t>
      </w:r>
    </w:p>
    <w:p>
      <w:r>
        <w:t>One streamed query replaces the three the old path ran per request:</w:t>
      </w:r>
    </w:p>
    <w:p>
      <w:pPr>
        <w:spacing w:before="80" w:after="200"/>
        <w:ind w:left="173"/>
        <w:shd w:val="clear" w:fill="F2F5F9"/>
      </w:pPr>
      <w:r>
        <w:rPr>
          <w:rFonts w:ascii="Consolas" w:hAnsi="Consolas"/>
          <w:color w:val="242C3D"/>
          <w:sz w:val="17"/>
        </w:rPr>
        <w:t>SELECT i.id, i.name, i.description, i.price, i.stock, i.image,</w:t>
        <w:br/>
        <w:t xml:space="preserve">       i.store_id, i.category_id, c.name AS category_name, s.email AS owner_email,</w:t>
        <w:br/>
        <w:t xml:space="preserve">       i.item_vector</w:t>
        <w:br/>
        <w:t>FROM items i</w:t>
        <w:br/>
        <w:t>LEFT JOIN categories c ON c.id = i.category_id</w:t>
        <w:br/>
        <w:t>LEFT JOIN stores     s ON s.id = i.store_id</w:t>
        <w:br/>
        <w:t>WHERE i.status = 1 AND i.item_vector IS NOT NULL</w:t>
        <w:br/>
        <w:t>ORDER BY i.id</w:t>
      </w:r>
    </w:p>
    <w:p>
      <w:r>
        <w:t xml:space="preserve">Run with </w:t>
      </w:r>
      <w:r>
        <w:rPr>
          <w:rFonts w:ascii="Consolas" w:hAnsi="Consolas"/>
          <w:color w:val="9E255C"/>
          <w:sz w:val="19"/>
        </w:rPr>
        <w:t>stream_results=True</w:t>
      </w:r>
      <w:r>
        <w:t xml:space="preserve"> in 2,000 row partitions into a pre-allocated </w:t>
      </w:r>
      <w:r>
        <w:rPr>
          <w:rFonts w:ascii="Consolas" w:hAnsi="Consolas"/>
          <w:color w:val="9E255C"/>
          <w:sz w:val="19"/>
        </w:rPr>
        <w:t>np.empty((N, 384), np.float32)</w:t>
      </w:r>
      <w:r>
        <w:t>. Peak memory stays near 37.6 MB instead of holding 206 MB of vector text as Python lists. Raw SQL, no ORM objects.</w:t>
      </w:r>
    </w:p>
    <w:p>
      <w:pPr>
        <w:pStyle w:val="Heading2"/>
      </w:pPr>
      <w:r>
        <w:t>Search</w:t>
      </w:r>
    </w:p>
    <w:p>
      <w:pPr>
        <w:spacing w:before="80" w:after="200"/>
        <w:ind w:left="173"/>
        <w:shd w:val="clear" w:fill="F2F5F9"/>
      </w:pPr>
      <w:r>
        <w:rPr>
          <w:rFonts w:ascii="Consolas" w:hAnsi="Consolas"/>
          <w:color w:val="242C3D"/>
          <w:sz w:val="17"/>
        </w:rPr>
        <w:t>sims  = self.matrix @ q          # one matrix-vector multiply</w:t>
        <w:br/>
        <w:t>keep  = sims &gt;= min_similarity   # the same 0.35 threshold</w:t>
        <w:br/>
        <w:t>hits  = np.flatnonzero(keep)</w:t>
        <w:br/>
        <w:t>order = hits[np.argsort(-sims[hits], kind="stable")]</w:t>
      </w:r>
    </w:p>
    <w:p>
      <w:r>
        <w:t xml:space="preserve">Only surviving rows are sorted. The sort is stable, so ties keep catalog order as Python's </w:t>
      </w:r>
      <w:r>
        <w:rPr>
          <w:rFonts w:ascii="Consolas" w:hAnsi="Consolas"/>
          <w:color w:val="9E255C"/>
          <w:sz w:val="19"/>
        </w:rPr>
        <w:t>list.sort</w:t>
      </w:r>
      <w:r>
        <w:t xml:space="preserve"> did.</w:t>
      </w:r>
    </w:p>
    <w:p>
      <w:r>
        <w:br w:type="page"/>
      </w:r>
    </w:p>
    <w:p>
      <w:pPr>
        <w:pStyle w:val="Heading1"/>
      </w:pPr>
      <w:r>
        <w:t>Why results are identical</w:t>
      </w:r>
    </w:p>
    <w:p>
      <w:r>
        <w:t>All 25,631 stored vectors were sampled and confirmed unit length (L2 norm min 1.0000, max 1.0000, std 0.0000). The dot product was already true cosine similarity, so moving the vectors into memory changes no arithmetic.</w:t>
      </w:r>
    </w:p>
    <w:p>
      <w:r>
        <w:t>Each step was reproduced rather than reimplemented:</w:t>
      </w:r>
    </w:p>
    <w:tbl>
      <w:tblPr>
        <w:tblStyle w:val="TableGrid"/>
        <w:tblW w:type="auto" w:w="0"/>
        <w:jc w:val="center"/>
        <w:tblLook w:firstColumn="1" w:firstRow="1" w:lastColumn="0" w:lastRow="0" w:noHBand="0" w:noVBand="1" w:val="04A0"/>
      </w:tblPr>
      <w:tblGrid>
        <w:gridCol w:w="4680"/>
        <w:gridCol w:w="4680"/>
      </w:tblGrid>
      <w:tr>
        <w:tc>
          <w:tcPr>
            <w:tcW w:type="dxa" w:w="4680"/>
            <w:shd w:val="clear" w:fill="E8F0FF"/>
          </w:tcPr>
          <w:p>
            <w:pPr>
              <w:spacing w:after="40"/>
            </w:pPr>
            <w:r/>
            <w:r>
              <w:rPr>
                <w:b/>
                <w:sz w:val="19"/>
              </w:rPr>
              <w:t>Step</w:t>
            </w:r>
          </w:p>
        </w:tc>
        <w:tc>
          <w:tcPr>
            <w:tcW w:type="dxa" w:w="4680"/>
            <w:shd w:val="clear" w:fill="E8F0FF"/>
          </w:tcPr>
          <w:p>
            <w:pPr>
              <w:spacing w:after="40"/>
            </w:pPr>
            <w:r/>
            <w:r>
              <w:rPr>
                <w:b/>
                <w:sz w:val="19"/>
              </w:rPr>
              <w:t>Preserved</w:t>
            </w:r>
          </w:p>
        </w:tc>
      </w:tr>
      <w:tr>
        <w:tc>
          <w:tcPr>
            <w:tcW w:type="dxa" w:w="4680"/>
          </w:tcPr>
          <w:p>
            <w:pPr>
              <w:spacing w:after="40"/>
            </w:pPr>
            <w:r/>
            <w:r>
              <w:rPr>
                <w:sz w:val="19"/>
              </w:rPr>
              <w:t>Query normalisation</w:t>
            </w:r>
          </w:p>
        </w:tc>
        <w:tc>
          <w:tcPr>
            <w:tcW w:type="dxa" w:w="4680"/>
          </w:tcPr>
          <w:p>
            <w:pPr>
              <w:spacing w:after="40"/>
            </w:pPr>
            <w:r/>
            <w:r>
              <w:rPr>
                <w:sz w:val="19"/>
              </w:rPr>
              <w:t>Redundant re-normalise kept, so query vectors are bit-identical</w:t>
            </w:r>
          </w:p>
        </w:tc>
      </w:tr>
      <w:tr>
        <w:tc>
          <w:tcPr>
            <w:tcW w:type="dxa" w:w="4680"/>
          </w:tcPr>
          <w:p>
            <w:pPr>
              <w:spacing w:after="40"/>
            </w:pPr>
            <w:r/>
            <w:r>
              <w:rPr>
                <w:sz w:val="19"/>
              </w:rPr>
              <w:t>Threshold</w:t>
            </w:r>
          </w:p>
        </w:tc>
        <w:tc>
          <w:tcPr>
            <w:tcW w:type="dxa" w:w="4680"/>
          </w:tcPr>
          <w:p>
            <w:pPr>
              <w:spacing w:after="40"/>
            </w:pPr>
            <w:r/>
            <w:r>
              <w:rPr>
                <w:sz w:val="19"/>
              </w:rPr>
              <w:t xml:space="preserve">Same </w:t>
            </w:r>
            <w:r>
              <w:rPr>
                <w:rFonts w:ascii="Consolas" w:hAnsi="Consolas"/>
                <w:color w:val="9E255C"/>
                <w:sz w:val="17"/>
              </w:rPr>
              <w:t>&gt;= 0.35</w:t>
            </w:r>
            <w:r>
              <w:rPr>
                <w:sz w:val="19"/>
              </w:rPr>
              <w:t>, same float32 to float64 promotion</w:t>
            </w:r>
          </w:p>
        </w:tc>
      </w:tr>
      <w:tr>
        <w:tc>
          <w:tcPr>
            <w:tcW w:type="dxa" w:w="4680"/>
          </w:tcPr>
          <w:p>
            <w:pPr>
              <w:spacing w:after="40"/>
            </w:pPr>
            <w:r/>
            <w:r>
              <w:rPr>
                <w:sz w:val="19"/>
              </w:rPr>
              <w:t>Ordering</w:t>
            </w:r>
          </w:p>
        </w:tc>
        <w:tc>
          <w:tcPr>
            <w:tcW w:type="dxa" w:w="4680"/>
          </w:tcPr>
          <w:p>
            <w:pPr>
              <w:spacing w:after="40"/>
            </w:pPr>
            <w:r/>
            <w:r>
              <w:rPr>
                <w:sz w:val="19"/>
              </w:rPr>
              <w:t>Stable descending sort, ties keep catalog order</w:t>
            </w:r>
          </w:p>
        </w:tc>
      </w:tr>
      <w:tr>
        <w:tc>
          <w:tcPr>
            <w:tcW w:type="dxa" w:w="4680"/>
          </w:tcPr>
          <w:p>
            <w:pPr>
              <w:spacing w:after="40"/>
            </w:pPr>
            <w:r/>
            <w:r>
              <w:rPr>
                <w:sz w:val="19"/>
              </w:rPr>
              <w:t>Missing category</w:t>
            </w:r>
          </w:p>
        </w:tc>
        <w:tc>
          <w:tcPr>
            <w:tcW w:type="dxa" w:w="4680"/>
          </w:tcPr>
          <w:p>
            <w:pPr>
              <w:spacing w:after="40"/>
            </w:pPr>
            <w:r/>
            <w:r>
              <w:rPr>
                <w:rFonts w:ascii="Consolas" w:hAnsi="Consolas"/>
                <w:color w:val="9E255C"/>
                <w:sz w:val="17"/>
              </w:rPr>
              <w:t>NULL</w:t>
            </w:r>
            <w:r>
              <w:rPr>
                <w:sz w:val="19"/>
              </w:rPr>
              <w:t xml:space="preserve"> resolves to </w:t>
            </w:r>
            <w:r>
              <w:rPr>
                <w:rFonts w:ascii="Consolas" w:hAnsi="Consolas"/>
                <w:color w:val="9E255C"/>
                <w:sz w:val="17"/>
              </w:rPr>
              <w:t>"General"</w:t>
            </w:r>
          </w:p>
        </w:tc>
      </w:tr>
      <w:tr>
        <w:tc>
          <w:tcPr>
            <w:tcW w:type="dxa" w:w="4680"/>
          </w:tcPr>
          <w:p>
            <w:pPr>
              <w:spacing w:after="40"/>
            </w:pPr>
            <w:r/>
            <w:r>
              <w:rPr>
                <w:sz w:val="19"/>
              </w:rPr>
              <w:t>Category filter</w:t>
            </w:r>
          </w:p>
        </w:tc>
        <w:tc>
          <w:tcPr>
            <w:tcW w:type="dxa" w:w="4680"/>
          </w:tcPr>
          <w:p>
            <w:pPr>
              <w:spacing w:after="40"/>
            </w:pPr>
            <w:r/>
            <w:r>
              <w:rPr>
                <w:sz w:val="19"/>
              </w:rPr>
              <w:t>Same case-insensitive substring test</w:t>
            </w:r>
          </w:p>
        </w:tc>
      </w:tr>
      <w:tr>
        <w:tc>
          <w:tcPr>
            <w:tcW w:type="dxa" w:w="4680"/>
          </w:tcPr>
          <w:p>
            <w:pPr>
              <w:spacing w:after="40"/>
            </w:pPr>
            <w:r/>
            <w:r>
              <w:rPr>
                <w:sz w:val="19"/>
              </w:rPr>
              <w:t>Deal-intent blend</w:t>
            </w:r>
          </w:p>
        </w:tc>
        <w:tc>
          <w:tcPr>
            <w:tcW w:type="dxa" w:w="4680"/>
          </w:tcPr>
          <w:p>
            <w:pPr>
              <w:spacing w:after="40"/>
            </w:pPr>
            <w:r/>
            <w:r>
              <w:rPr>
                <w:sz w:val="19"/>
              </w:rPr>
              <w:t xml:space="preserve">Same </w:t>
            </w:r>
            <w:r>
              <w:rPr>
                <w:rFonts w:ascii="Consolas" w:hAnsi="Consolas"/>
                <w:color w:val="9E255C"/>
                <w:sz w:val="17"/>
              </w:rPr>
              <w:t>(similarity * 0.6) + (price_score * 0.4)</w:t>
            </w:r>
            <w:r>
              <w:rPr>
                <w:sz w:val="19"/>
              </w:rPr>
              <w:t xml:space="preserve"> over the same filtered set</w:t>
            </w:r>
          </w:p>
        </w:tc>
      </w:tr>
      <w:tr>
        <w:tc>
          <w:tcPr>
            <w:tcW w:type="dxa" w:w="4680"/>
          </w:tcPr>
          <w:p>
            <w:pPr>
              <w:spacing w:after="40"/>
            </w:pPr>
            <w:r/>
            <w:r>
              <w:rPr>
                <w:sz w:val="19"/>
              </w:rPr>
              <w:t>Image URLs</w:t>
            </w:r>
          </w:p>
        </w:tc>
        <w:tc>
          <w:tcPr>
            <w:tcW w:type="dxa" w:w="4680"/>
          </w:tcPr>
          <w:p>
            <w:pPr>
              <w:spacing w:after="40"/>
            </w:pPr>
            <w:r/>
            <w:r>
              <w:rPr>
                <w:sz w:val="19"/>
              </w:rPr>
              <w:t xml:space="preserve">Both paths call </w:t>
            </w:r>
            <w:r>
              <w:rPr>
                <w:rFonts w:ascii="Consolas" w:hAnsi="Consolas"/>
                <w:color w:val="9E255C"/>
                <w:sz w:val="17"/>
              </w:rPr>
              <w:t>serialized_image_for()</w:t>
            </w:r>
          </w:p>
        </w:tc>
      </w:tr>
    </w:tbl>
    <w:p/>
    <w:p>
      <w:r>
        <w:t xml:space="preserve">Checked two ways: </w:t>
      </w:r>
      <w:r>
        <w:rPr>
          <w:rFonts w:ascii="Consolas" w:hAnsi="Consolas"/>
          <w:color w:val="9E255C"/>
          <w:sz w:val="19"/>
        </w:rPr>
        <w:t>tests/test_catalog_index.py</w:t>
      </w:r>
      <w:r>
        <w:t xml:space="preserve"> runs 960 comparisons per seed against a transcription of the old algorithm, and </w:t>
      </w:r>
      <w:r>
        <w:rPr>
          <w:rFonts w:ascii="Consolas" w:hAnsi="Consolas"/>
          <w:color w:val="9E255C"/>
          <w:sz w:val="19"/>
        </w:rPr>
        <w:t>benchmark_search.py --parity</w:t>
      </w:r>
      <w:r>
        <w:t xml:space="preserve"> compares both paths against the live catalog.</w:t>
      </w:r>
    </w:p>
    <w:p>
      <w:r>
        <w:br w:type="page"/>
      </w:r>
    </w:p>
    <w:p>
      <w:pPr>
        <w:pStyle w:val="Heading1"/>
      </w:pPr>
      <w:r>
        <w:t>Configuration</w:t>
      </w:r>
    </w:p>
    <w:p>
      <w:r>
        <w:t xml:space="preserve">Added to </w:t>
      </w:r>
      <w:r>
        <w:rPr>
          <w:rFonts w:ascii="Consolas" w:hAnsi="Consolas"/>
          <w:color w:val="9E255C"/>
          <w:sz w:val="19"/>
        </w:rPr>
        <w:t>backend/.env</w:t>
      </w:r>
      <w:r>
        <w:t xml:space="preserve">. All have defaults, so an old </w:t>
      </w:r>
      <w:r>
        <w:rPr>
          <w:rFonts w:ascii="Consolas" w:hAnsi="Consolas"/>
          <w:color w:val="9E255C"/>
          <w:sz w:val="19"/>
        </w:rPr>
        <w:t>.env</w:t>
      </w:r>
      <w:r>
        <w:t xml:space="preserve"> still works.</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fill="E8F0FF"/>
          </w:tcPr>
          <w:p>
            <w:pPr>
              <w:spacing w:after="40"/>
            </w:pPr>
            <w:r/>
            <w:r>
              <w:rPr>
                <w:b/>
                <w:sz w:val="19"/>
              </w:rPr>
              <w:t>Setting</w:t>
            </w:r>
          </w:p>
        </w:tc>
        <w:tc>
          <w:tcPr>
            <w:tcW w:type="dxa" w:w="3120"/>
            <w:shd w:val="clear" w:fill="E8F0FF"/>
          </w:tcPr>
          <w:p>
            <w:pPr>
              <w:spacing w:after="40"/>
            </w:pPr>
            <w:r/>
            <w:r>
              <w:rPr>
                <w:b/>
                <w:sz w:val="19"/>
              </w:rPr>
              <w:t>Default</w:t>
            </w:r>
          </w:p>
        </w:tc>
        <w:tc>
          <w:tcPr>
            <w:tcW w:type="dxa" w:w="3120"/>
            <w:shd w:val="clear" w:fill="E8F0FF"/>
          </w:tcPr>
          <w:p>
            <w:pPr>
              <w:spacing w:after="40"/>
            </w:pPr>
            <w:r/>
            <w:r>
              <w:rPr>
                <w:b/>
                <w:sz w:val="19"/>
              </w:rPr>
              <w:t>Purpose</w:t>
            </w:r>
          </w:p>
        </w:tc>
      </w:tr>
      <w:tr>
        <w:tc>
          <w:tcPr>
            <w:tcW w:type="dxa" w:w="3120"/>
          </w:tcPr>
          <w:p>
            <w:pPr>
              <w:spacing w:after="40"/>
            </w:pPr>
            <w:r/>
            <w:r>
              <w:rPr>
                <w:rFonts w:ascii="Consolas" w:hAnsi="Consolas"/>
                <w:color w:val="9E255C"/>
                <w:sz w:val="17"/>
              </w:rPr>
              <w:t>RAG_USE_INDEX</w:t>
            </w:r>
          </w:p>
        </w:tc>
        <w:tc>
          <w:tcPr>
            <w:tcW w:type="dxa" w:w="3120"/>
          </w:tcPr>
          <w:p>
            <w:pPr>
              <w:spacing w:after="40"/>
            </w:pPr>
            <w:r/>
            <w:r>
              <w:rPr>
                <w:rFonts w:ascii="Consolas" w:hAnsi="Consolas"/>
                <w:color w:val="9E255C"/>
                <w:sz w:val="17"/>
              </w:rPr>
              <w:t>true</w:t>
            </w:r>
          </w:p>
        </w:tc>
        <w:tc>
          <w:tcPr>
            <w:tcW w:type="dxa" w:w="3120"/>
          </w:tcPr>
          <w:p>
            <w:pPr>
              <w:spacing w:after="40"/>
            </w:pPr>
            <w:r/>
            <w:r>
              <w:rPr>
                <w:sz w:val="19"/>
              </w:rPr>
              <w:t xml:space="preserve">Master switch. </w:t>
            </w:r>
            <w:r>
              <w:rPr>
                <w:rFonts w:ascii="Consolas" w:hAnsi="Consolas"/>
                <w:color w:val="9E255C"/>
                <w:sz w:val="17"/>
              </w:rPr>
              <w:t>false</w:t>
            </w:r>
            <w:r>
              <w:rPr>
                <w:sz w:val="19"/>
              </w:rPr>
              <w:t xml:space="preserve"> reverts to the database path on restart.</w:t>
            </w:r>
          </w:p>
        </w:tc>
      </w:tr>
      <w:tr>
        <w:tc>
          <w:tcPr>
            <w:tcW w:type="dxa" w:w="3120"/>
          </w:tcPr>
          <w:p>
            <w:pPr>
              <w:spacing w:after="40"/>
            </w:pPr>
            <w:r/>
            <w:r>
              <w:rPr>
                <w:rFonts w:ascii="Consolas" w:hAnsi="Consolas"/>
                <w:color w:val="9E255C"/>
                <w:sz w:val="17"/>
              </w:rPr>
              <w:t>WARMUP_ON_STARTUP</w:t>
            </w:r>
          </w:p>
        </w:tc>
        <w:tc>
          <w:tcPr>
            <w:tcW w:type="dxa" w:w="3120"/>
          </w:tcPr>
          <w:p>
            <w:pPr>
              <w:spacing w:after="40"/>
            </w:pPr>
            <w:r/>
            <w:r>
              <w:rPr>
                <w:rFonts w:ascii="Consolas" w:hAnsi="Consolas"/>
                <w:color w:val="9E255C"/>
                <w:sz w:val="17"/>
              </w:rPr>
              <w:t>true</w:t>
            </w:r>
          </w:p>
        </w:tc>
        <w:tc>
          <w:tcPr>
            <w:tcW w:type="dxa" w:w="3120"/>
          </w:tcPr>
          <w:p>
            <w:pPr>
              <w:spacing w:after="40"/>
            </w:pPr>
            <w:r/>
            <w:r>
              <w:rPr>
                <w:sz w:val="19"/>
              </w:rPr>
              <w:t>Load the model and build the index at boot.</w:t>
            </w:r>
          </w:p>
        </w:tc>
      </w:tr>
      <w:tr>
        <w:tc>
          <w:tcPr>
            <w:tcW w:type="dxa" w:w="3120"/>
          </w:tcPr>
          <w:p>
            <w:pPr>
              <w:spacing w:after="40"/>
            </w:pPr>
            <w:r/>
            <w:r>
              <w:rPr>
                <w:rFonts w:ascii="Consolas" w:hAnsi="Consolas"/>
                <w:color w:val="9E255C"/>
                <w:sz w:val="17"/>
              </w:rPr>
              <w:t>ADMIN_TOKEN</w:t>
            </w:r>
          </w:p>
        </w:tc>
        <w:tc>
          <w:tcPr>
            <w:tcW w:type="dxa" w:w="3120"/>
          </w:tcPr>
          <w:p>
            <w:pPr>
              <w:spacing w:after="40"/>
            </w:pPr>
            <w:r/>
            <w:r>
              <w:rPr>
                <w:i/>
                <w:sz w:val="19"/>
              </w:rPr>
              <w:t>(empty)</w:t>
            </w:r>
          </w:p>
        </w:tc>
        <w:tc>
          <w:tcPr>
            <w:tcW w:type="dxa" w:w="3120"/>
          </w:tcPr>
          <w:p>
            <w:pPr>
              <w:spacing w:after="40"/>
            </w:pPr>
            <w:r/>
            <w:r>
              <w:rPr>
                <w:sz w:val="19"/>
              </w:rPr>
              <w:t>Guards the admin endpoints. Empty disables them.</w:t>
            </w:r>
          </w:p>
        </w:tc>
      </w:tr>
      <w:tr>
        <w:tc>
          <w:tcPr>
            <w:tcW w:type="dxa" w:w="3120"/>
          </w:tcPr>
          <w:p>
            <w:pPr>
              <w:spacing w:after="40"/>
            </w:pPr>
            <w:r/>
            <w:r>
              <w:rPr>
                <w:rFonts w:ascii="Consolas" w:hAnsi="Consolas"/>
                <w:color w:val="9E255C"/>
                <w:sz w:val="17"/>
              </w:rPr>
              <w:t>INDEX_MAX_ROWS</w:t>
            </w:r>
          </w:p>
        </w:tc>
        <w:tc>
          <w:tcPr>
            <w:tcW w:type="dxa" w:w="3120"/>
          </w:tcPr>
          <w:p>
            <w:pPr>
              <w:spacing w:after="40"/>
            </w:pPr>
            <w:r/>
            <w:r>
              <w:rPr>
                <w:rFonts w:ascii="Consolas" w:hAnsi="Consolas"/>
                <w:color w:val="9E255C"/>
                <w:sz w:val="17"/>
              </w:rPr>
              <w:t>200000</w:t>
            </w:r>
          </w:p>
        </w:tc>
        <w:tc>
          <w:tcPr>
            <w:tcW w:type="dxa" w:w="3120"/>
          </w:tcPr>
          <w:p>
            <w:pPr>
              <w:spacing w:after="40"/>
            </w:pPr>
            <w:r/>
            <w:r>
              <w:rPr>
                <w:sz w:val="19"/>
              </w:rPr>
              <w:t>Refuse to build above this rather than exhausting the server.</w:t>
            </w:r>
          </w:p>
        </w:tc>
      </w:tr>
    </w:tbl>
    <w:p/>
    <w:p>
      <w:r>
        <w:t xml:space="preserve">Generate a token with </w:t>
      </w:r>
      <w:r>
        <w:rPr>
          <w:rFonts w:ascii="Consolas" w:hAnsi="Consolas"/>
          <w:color w:val="9E255C"/>
          <w:sz w:val="19"/>
        </w:rPr>
        <w:t>openssl rand -hex 24</w:t>
      </w:r>
      <w:r>
        <w:t>.</w:t>
      </w:r>
    </w:p>
    <w:p>
      <w:r>
        <w:br w:type="page"/>
      </w:r>
    </w:p>
    <w:p>
      <w:pPr>
        <w:pStyle w:val="Heading1"/>
      </w:pPr>
      <w:r>
        <w:t>Memory</w:t>
      </w:r>
    </w:p>
    <w:tbl>
      <w:tblPr>
        <w:tblStyle w:val="TableGrid"/>
        <w:tblW w:type="auto" w:w="0"/>
        <w:jc w:val="center"/>
        <w:tblLook w:firstColumn="1" w:firstRow="1" w:lastColumn="0" w:lastRow="0" w:noHBand="0" w:noVBand="1" w:val="04A0"/>
      </w:tblPr>
      <w:tblGrid>
        <w:gridCol w:w="4680"/>
        <w:gridCol w:w="4680"/>
      </w:tblGrid>
      <w:tr>
        <w:tc>
          <w:tcPr>
            <w:tcW w:type="dxa" w:w="4680"/>
            <w:shd w:val="clear" w:fill="E8F0FF"/>
          </w:tcPr>
          <w:p>
            <w:pPr>
              <w:spacing w:after="40"/>
            </w:pPr>
            <w:r/>
            <w:r>
              <w:rPr>
                <w:b/>
                <w:sz w:val="19"/>
              </w:rPr>
            </w:r>
          </w:p>
        </w:tc>
        <w:tc>
          <w:tcPr>
            <w:tcW w:type="dxa" w:w="4680"/>
            <w:shd w:val="clear" w:fill="E8F0FF"/>
          </w:tcPr>
          <w:p>
            <w:pPr>
              <w:spacing w:after="40"/>
            </w:pPr>
            <w:r/>
            <w:r>
              <w:rPr>
                <w:b/>
                <w:sz w:val="19"/>
              </w:rPr>
            </w:r>
          </w:p>
        </w:tc>
      </w:tr>
      <w:tr>
        <w:tc>
          <w:tcPr>
            <w:tcW w:type="dxa" w:w="4680"/>
          </w:tcPr>
          <w:p>
            <w:pPr>
              <w:spacing w:after="40"/>
            </w:pPr>
            <w:r/>
            <w:r>
              <w:rPr>
                <w:sz w:val="19"/>
              </w:rPr>
              <w:t>Vector matrix</w:t>
            </w:r>
          </w:p>
        </w:tc>
        <w:tc>
          <w:tcPr>
            <w:tcW w:type="dxa" w:w="4680"/>
          </w:tcPr>
          <w:p>
            <w:pPr>
              <w:spacing w:after="40"/>
            </w:pPr>
            <w:r/>
            <w:r>
              <w:rPr>
                <w:sz w:val="19"/>
              </w:rPr>
              <w:t>37.6 MB</w:t>
            </w:r>
          </w:p>
        </w:tc>
      </w:tr>
      <w:tr>
        <w:tc>
          <w:tcPr>
            <w:tcW w:type="dxa" w:w="4680"/>
          </w:tcPr>
          <w:p>
            <w:pPr>
              <w:spacing w:after="40"/>
            </w:pPr>
            <w:r/>
            <w:r>
              <w:rPr>
                <w:sz w:val="19"/>
              </w:rPr>
              <w:t>Process growth when the index is built</w:t>
            </w:r>
          </w:p>
        </w:tc>
        <w:tc>
          <w:tcPr>
            <w:tcW w:type="dxa" w:w="4680"/>
          </w:tcPr>
          <w:p>
            <w:pPr>
              <w:spacing w:after="40"/>
            </w:pPr>
            <w:r/>
            <w:r>
              <w:rPr>
                <w:sz w:val="19"/>
              </w:rPr>
              <w:t>77.5 MB</w:t>
            </w:r>
          </w:p>
        </w:tc>
      </w:tr>
      <w:tr>
        <w:tc>
          <w:tcPr>
            <w:tcW w:type="dxa" w:w="4680"/>
          </w:tcPr>
          <w:p>
            <w:pPr>
              <w:spacing w:after="40"/>
            </w:pPr>
            <w:r/>
            <w:r>
              <w:rPr>
                <w:sz w:val="19"/>
              </w:rPr>
              <w:t>Service RSS in steady state</w:t>
            </w:r>
          </w:p>
        </w:tc>
        <w:tc>
          <w:tcPr>
            <w:tcW w:type="dxa" w:w="4680"/>
          </w:tcPr>
          <w:p>
            <w:pPr>
              <w:spacing w:after="40"/>
            </w:pPr>
            <w:r/>
            <w:r>
              <w:rPr>
                <w:sz w:val="19"/>
              </w:rPr>
              <w:t>~770 MB, mostly PyTorch and the embedding model</w:t>
            </w:r>
          </w:p>
        </w:tc>
      </w:tr>
    </w:tbl>
    <w:p/>
    <w:p>
      <w:r>
        <w:t xml:space="preserve">The service runs as a single uvicorn worker, so there is one copy of the index. Adding </w:t>
      </w:r>
      <w:r>
        <w:rPr>
          <w:rFonts w:ascii="Consolas" w:hAnsi="Consolas"/>
          <w:color w:val="9E255C"/>
          <w:sz w:val="19"/>
        </w:rPr>
        <w:t>--workers N</w:t>
      </w:r>
      <w:r>
        <w:t xml:space="preserve"> would multiply the memory cost by N.</w:t>
      </w:r>
    </w:p>
    <w:p>
      <w:r>
        <w:br w:type="page"/>
      </w:r>
    </w:p>
    <w:p>
      <w:pPr>
        <w:pStyle w:val="Heading1"/>
      </w:pPr>
      <w:r>
        <w:t>Operating it</w:t>
      </w:r>
    </w:p>
    <w:p>
      <w:pPr>
        <w:spacing w:before="80" w:after="200"/>
        <w:ind w:left="173"/>
        <w:shd w:val="clear" w:fill="F2F5F9"/>
      </w:pPr>
      <w:r>
        <w:rPr>
          <w:rFonts w:ascii="Consolas" w:hAnsi="Consolas"/>
          <w:color w:val="242C3D"/>
          <w:sz w:val="17"/>
        </w:rPr>
        <w:t># which route searches are taking</w:t>
        <w:br/>
        <w:t>curl -s https://dev.agent.fordev.fun/health | python3 -m json.tool</w:t>
        <w:br/>
        <w:t>sudo journalctl -u aiorder -f | grep "via="</w:t>
        <w:br/>
        <w:br/>
        <w:t># after changing the catalog (rebuild is triggered automatically)</w:t>
        <w:br/>
        <w:t>.venv/bin/python import_items_from_remote.py</w:t>
        <w:br/>
        <w:br/>
        <w:t># rebuild by hand, no restart</w:t>
        <w:br/>
        <w:t>curl -X POST https://dev.agent.fordev.fun/api/v1/admin/reindex \</w:t>
        <w:br/>
        <w:t xml:space="preserve">     -H "X-Admin-Token: &lt;token from .env&gt;"</w:t>
        <w:br/>
        <w:br/>
        <w:t># tests</w:t>
        <w:br/>
        <w:t>.venv/bin/python -m pytest tests/ -q</w:t>
      </w:r>
    </w:p>
    <w:p>
      <w:pPr>
        <w:pStyle w:val="Heading2"/>
      </w:pPr>
      <w:r>
        <w:t>Rollback</w:t>
      </w:r>
    </w:p>
    <w:p>
      <w:pPr>
        <w:spacing w:before="80" w:after="200"/>
        <w:ind w:left="173"/>
        <w:shd w:val="clear" w:fill="F2F5F9"/>
      </w:pPr>
      <w:r>
        <w:rPr>
          <w:rFonts w:ascii="Consolas" w:hAnsi="Consolas"/>
          <w:color w:val="242C3D"/>
          <w:sz w:val="17"/>
        </w:rPr>
        <w:t>sudo sed -i 's/^RAG_USE_INDEX=.*/RAG_USE_INDEX=false/' /var/www/ai-order/backend/.env</w:t>
        <w:br/>
        <w:t>sudo systemctl restart aiorder</w:t>
      </w:r>
    </w:p>
    <w:p>
      <w:r>
        <w:t xml:space="preserve">No redeployment, no code change. </w:t>
      </w:r>
      <w:r>
        <w:rPr>
          <w:rFonts w:ascii="Consolas" w:hAnsi="Consolas"/>
          <w:color w:val="9E255C"/>
          <w:sz w:val="19"/>
        </w:rPr>
        <w:t>/health</w:t>
      </w:r>
      <w:r>
        <w:t xml:space="preserve"> will report </w:t>
      </w:r>
      <w:r>
        <w:rPr>
          <w:rFonts w:ascii="Consolas" w:hAnsi="Consolas"/>
          <w:color w:val="9E255C"/>
          <w:sz w:val="19"/>
        </w:rPr>
        <w:t>"state": "disabled"</w:t>
      </w:r>
      <w:r>
        <w:t>.</w:t>
      </w:r>
    </w:p>
    <w:p>
      <w:r>
        <w:br w:type="page"/>
      </w:r>
    </w:p>
    <w:p>
      <w:pPr>
        <w:pStyle w:val="Heading1"/>
      </w:pPr>
      <w:r>
        <w:t>Known items, outside this milestone</w:t>
      </w:r>
    </w:p>
    <w:tbl>
      <w:tblPr>
        <w:tblStyle w:val="TableGrid"/>
        <w:tblW w:type="auto" w:w="0"/>
        <w:jc w:val="center"/>
        <w:tblLook w:firstColumn="1" w:firstRow="1" w:lastColumn="0" w:lastRow="0" w:noHBand="0" w:noVBand="1" w:val="04A0"/>
      </w:tblPr>
      <w:tblGrid>
        <w:gridCol w:w="4680"/>
        <w:gridCol w:w="4680"/>
      </w:tblGrid>
      <w:tr>
        <w:tc>
          <w:tcPr>
            <w:tcW w:type="dxa" w:w="4680"/>
            <w:shd w:val="clear" w:fill="E8F0FF"/>
          </w:tcPr>
          <w:p>
            <w:pPr>
              <w:spacing w:after="40"/>
            </w:pPr>
            <w:r/>
            <w:r>
              <w:rPr>
                <w:b/>
                <w:sz w:val="19"/>
              </w:rPr>
              <w:t>Item</w:t>
            </w:r>
          </w:p>
        </w:tc>
        <w:tc>
          <w:tcPr>
            <w:tcW w:type="dxa" w:w="4680"/>
            <w:shd w:val="clear" w:fill="E8F0FF"/>
          </w:tcPr>
          <w:p>
            <w:pPr>
              <w:spacing w:after="40"/>
            </w:pPr>
            <w:r/>
            <w:r>
              <w:rPr>
                <w:b/>
                <w:sz w:val="19"/>
              </w:rPr>
              <w:t>Detail</w:t>
            </w:r>
          </w:p>
        </w:tc>
      </w:tr>
      <w:tr>
        <w:tc>
          <w:tcPr>
            <w:tcW w:type="dxa" w:w="4680"/>
          </w:tcPr>
          <w:p>
            <w:pPr>
              <w:spacing w:after="40"/>
            </w:pPr>
            <w:r/>
            <w:r>
              <w:rPr>
                <w:sz w:val="19"/>
              </w:rPr>
              <w:t>Response size</w:t>
            </w:r>
          </w:p>
        </w:tc>
        <w:tc>
          <w:tcPr>
            <w:tcW w:type="dxa" w:w="4680"/>
          </w:tcPr>
          <w:p>
            <w:pPr>
              <w:spacing w:after="40"/>
            </w:pPr>
            <w:r/>
            <w:r>
              <w:rPr>
                <w:sz w:val="19"/>
              </w:rPr>
              <w:t>A search returns every match above 0.35, up to 2,928 products, all sent to the browser and written to the session row. The chat shows five. Capping this changes the API contract, so it needs a decision.</w:t>
            </w:r>
          </w:p>
        </w:tc>
      </w:tr>
      <w:tr>
        <w:tc>
          <w:tcPr>
            <w:tcW w:type="dxa" w:w="4680"/>
          </w:tcPr>
          <w:p>
            <w:pPr>
              <w:spacing w:after="40"/>
            </w:pPr>
            <w:r/>
            <w:r>
              <w:rPr>
                <w:rFonts w:ascii="Consolas" w:hAnsi="Consolas"/>
                <w:color w:val="9E255C"/>
                <w:sz w:val="17"/>
              </w:rPr>
              <w:t>GET /api/v1/products</w:t>
            </w:r>
          </w:p>
        </w:tc>
        <w:tc>
          <w:tcPr>
            <w:tcW w:type="dxa" w:w="4680"/>
          </w:tcPr>
          <w:p>
            <w:pPr>
              <w:spacing w:after="40"/>
            </w:pPr>
            <w:r/>
            <w:r>
              <w:rPr>
                <w:sz w:val="19"/>
              </w:rPr>
              <w:t>Still scans the whole catalog. It includes products without embeddings, which the index does not hold, so serving it from the index would silently drop rows.</w:t>
            </w:r>
          </w:p>
        </w:tc>
      </w:tr>
      <w:tr>
        <w:tc>
          <w:tcPr>
            <w:tcW w:type="dxa" w:w="4680"/>
          </w:tcPr>
          <w:p>
            <w:pPr>
              <w:spacing w:after="40"/>
            </w:pPr>
            <w:r/>
            <w:r>
              <w:rPr>
                <w:sz w:val="19"/>
              </w:rPr>
              <w:t>Gemini quota</w:t>
            </w:r>
          </w:p>
        </w:tc>
        <w:tc>
          <w:tcPr>
            <w:tcW w:type="dxa" w:w="4680"/>
          </w:tcPr>
          <w:p>
            <w:pPr>
              <w:spacing w:after="40"/>
            </w:pPr>
            <w:r/>
            <w:r>
              <w:rPr>
                <w:sz w:val="19"/>
              </w:rPr>
              <w:t>The dev key is returning HTTP 429. The app falls back to built-in wording, so nothing breaks, but replies are not AI-worded.</w:t>
            </w:r>
          </w:p>
        </w:tc>
      </w:tr>
      <w:tr>
        <w:tc>
          <w:tcPr>
            <w:tcW w:type="dxa" w:w="4680"/>
          </w:tcPr>
          <w:p>
            <w:pPr>
              <w:spacing w:after="40"/>
            </w:pPr>
            <w:r/>
            <w:r>
              <w:rPr>
                <w:sz w:val="19"/>
              </w:rPr>
              <w:t>Product names</w:t>
            </w:r>
          </w:p>
        </w:tc>
        <w:tc>
          <w:tcPr>
            <w:tcW w:type="dxa" w:w="4680"/>
          </w:tcPr>
          <w:p>
            <w:pPr>
              <w:spacing w:after="40"/>
            </w:pPr>
            <w:r/>
            <w:r>
              <w:rPr>
                <w:sz w:val="19"/>
              </w:rPr>
              <w:t xml:space="preserve">2,292 of 25,631 names contain a literal </w:t>
            </w:r>
            <w:r>
              <w:rPr>
                <w:rFonts w:ascii="Consolas" w:hAnsi="Consolas"/>
                <w:color w:val="9E255C"/>
                <w:sz w:val="17"/>
              </w:rPr>
              <w:t>?</w:t>
            </w:r>
            <w:r>
              <w:rPr>
                <w:sz w:val="19"/>
              </w:rPr>
              <w:t xml:space="preserve"> where an apostrophe belongs. Verified identical in the client's own database, so it arrived with the source data.</w:t>
            </w:r>
          </w:p>
        </w:tc>
      </w:tr>
    </w:tbl>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